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B9" w:rsidRDefault="00AD45B9" w:rsidP="00AD45B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FE11C" wp14:editId="0F2BD72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45B9" w:rsidRDefault="00AD45B9" w:rsidP="00AD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AD45B9" w:rsidRDefault="00AD45B9" w:rsidP="00AD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D45B9" w:rsidRDefault="00AD45B9" w:rsidP="00AD45B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D45B9" w:rsidRDefault="00AD45B9" w:rsidP="00AD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AD45B9" w:rsidRDefault="00AD45B9" w:rsidP="00AD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D45B9" w:rsidRDefault="00AD45B9" w:rsidP="00AD45B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FEA9152" wp14:editId="04D5C49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D45B9" w:rsidRPr="00F314D2" w:rsidRDefault="00AD45B9" w:rsidP="00AD45B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b/>
          <w:sz w:val="28"/>
          <w:szCs w:val="28"/>
          <w:lang w:val="uk-UA"/>
        </w:rPr>
        <w:t>Застосування штрафних санкцій після припинення або скасування воєнного стану на території України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69.2 п. 69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10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>. XX «Перехідні положення» Податкового кодексу України від 02 грудня 2010 року № 2755-VI із змінами та доповненнями (далі – ПКУ) податкові перевірки не розпочинаються, а розпочаті перевірки зупиняються, крім: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 а) камеральних перевірок; 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б) документальних позапланових перевірок, що проводяться на звернення платника податків та/або з підстав, визначених підпунктами 78.1.2 (в частині контролю за трансфертним ціноутворенням), 78.1.5, 78.1.7, 78.1.8, 78.1.12, 78.1.14 – 78.1.16, 78.1.21 та 78.1.22 п. 78.1 ст. 78 ПКУ, та/або документальних позапланових перевірок платників податків, за якими отримано податкову інформацію, що свідчить про порушення платником валютного законодавства в частині дотримання граничних строків надходження товарів за імпортними операціями та/або валютної виручки за експортними операціями, та/або документальних позапланових перевірок з питань оподаткування юридичними особами або іншими нерезидентами, які здійснюють господарську діяльність через постійне представництво на території України, доходів, отриманих нерезидентами із джерелом їх походження з України, та/або документальних позапланових перевірок нерезидентів (представництв нерезидентів); 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>в) фактичних перевірок.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 Разом з тим, абзацом сімнадцятим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69.2 п. 69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10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XX «Перехідні положення» ПКУ встановлено, що у разі виявлення порушень законодавства за результатами проведення перевірок до платників податків застосовується відповідальність згідно з ПКУ, законами, контроль за виконанням яких покладено на контролюючі органи, з урахуванням обставин, передбачених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112.8.9 п. 112.8 ст. 112 ПКУ, що звільняють від фінансової відповідальності. При цьому вимоги законодавства щодо мораторію (зупинення) застосування штрафних (фінансових) санкцій (штрафів) на період дії воєнного, надзвичайного стану та/або на період дії карантину, встановленого Кабінетом Міністрів України на всій території України з метою запобігання поширенню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 хвороби (COVID-19), не застосовуються.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 Поряд з цим, Законом України від 15 березня 2022 року № 2120-IХ «Про внесення змін до Податкового кодексу України та інших законодавчих актів України щодо дії норм на період дії воєнного стану» доповнено п. 12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ІІ «Прикінцеві положення»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доповненнями (далі – Закон № 265), який з врахуванням змін визначає, що тимчасово, на період до </w:t>
      </w:r>
      <w:r w:rsidRPr="00F314D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припинення або скасування воєнного стану на території України, санкції за порушення вимог Закону № 265 не застосовуються, крім санкцій за порушення порядку здійснення розрахункових операцій при продажу підакцизних товарів. 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Згідно з п. 52 прим. 1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10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ХХ «Перехідні положення» ПКУ за порушення податкового законодавства, вчинені протягом періоду з 01 березня 2020 року по останній календарний день місяця (включно), в якому завершується дія карантину, встановленого Кабінетом Міністрів України на всій території України з метою запобігання поширенню на території України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 хвороби (COVID-19), штрафні санкції не застосовуються, крім санкцій за: </w:t>
      </w:r>
    </w:p>
    <w:p w:rsidR="00AD45B9" w:rsidRPr="00F314D2" w:rsidRDefault="00AD45B9" w:rsidP="00AD45B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порушення вимог до договорів довгострокового страхування життя чи договорів страхування в межах недержавного пенсійного забезпечення, зокрема страхування додаткової пенсії; </w:t>
      </w:r>
    </w:p>
    <w:p w:rsidR="00AD45B9" w:rsidRPr="00F314D2" w:rsidRDefault="00AD45B9" w:rsidP="00AD45B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>відчуження майна, що перебуває у податковій заставі, без згоди контролюючого органу;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3.    порушення вимог законодавства в частині: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обліку, виробництва, зберігання та транспортування пального, спирту етилового, алкогольних напоїв та тютюнових виробів;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цільового використання пального, спирту етилового платниками податків;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акцизних складів витратомірами-лічильниками та/або рівномірами-лічильниками;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функцій, визначених законодавством у сфері виробництва і обігу спирту, алкогольних напоїв та тютюнових виробів, пального;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суб’єктами господарювання операцій з реалізації пального або спирту етилового без реєстрації таких суб’єктів платниками акцизного податку; </w:t>
      </w:r>
    </w:p>
    <w:p w:rsidR="00AD45B9" w:rsidRPr="00F314D2" w:rsidRDefault="00AD45B9" w:rsidP="00AD45B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порушення нарахування, декларування та сплати податку на додану вартість, акцизного податку, рентної плати. </w:t>
      </w: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викладене, контролюючі органи не позбавлені права проводити перевірки суб’єктів господарювання, як під час дії воєнного стану, так і після його завершення, при цьому, період їх господарської діяльності з 24 лютого 2022 року по день закінчення воєнного стану перевіряється у загальному порядку. У разі встановлення порушень Закону № 265 допущених в цей же період, ДПС буде застосовувати штрафні санкції після припинення або скасування воєнного стану на території України. </w:t>
      </w:r>
    </w:p>
    <w:p w:rsidR="00AD45B9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Водночас, після закінчення воєнного стану штрафні (фінансові) санкції до платників податків будуть застосовуватись із врахуванням вимог п. 52 прим. 1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 xml:space="preserve">. 10 </w:t>
      </w:r>
      <w:proofErr w:type="spellStart"/>
      <w:r w:rsidRPr="00F314D2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F314D2">
        <w:rPr>
          <w:rFonts w:ascii="Times New Roman" w:hAnsi="Times New Roman" w:cs="Times New Roman"/>
          <w:sz w:val="28"/>
          <w:szCs w:val="28"/>
          <w:lang w:val="uk-UA"/>
        </w:rPr>
        <w:t>. ХХ «Перехідні положення» ПКУ.</w:t>
      </w:r>
    </w:p>
    <w:p w:rsidR="00AD45B9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45B9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45B9" w:rsidRPr="00AD45B9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AD45B9" w:rsidRPr="00DE4529" w:rsidRDefault="00AD45B9" w:rsidP="00AD45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AD45B9">
        <w:rPr>
          <w:rFonts w:ascii="Times New Roman" w:hAnsi="Times New Roman" w:cs="Times New Roman"/>
          <w:sz w:val="20"/>
          <w:szCs w:val="20"/>
          <w:lang w:val="en-US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AD45B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AD45B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AD45B9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  <w:r w:rsidRPr="00AD45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DE4529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E4529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E4529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7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E452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E452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E452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E452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AD45B9" w:rsidRPr="00EA716F" w:rsidRDefault="00AD45B9" w:rsidP="00AD45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AD45B9" w:rsidRPr="00AD45B9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45B9" w:rsidRPr="00F314D2" w:rsidRDefault="00AD45B9" w:rsidP="00AD45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555555"/>
          <w:sz w:val="28"/>
          <w:szCs w:val="28"/>
          <w:shd w:val="clear" w:color="auto" w:fill="F2F2F2"/>
          <w:lang w:val="uk-UA"/>
        </w:rPr>
      </w:pPr>
      <w:r w:rsidRPr="00F314D2">
        <w:rPr>
          <w:rFonts w:ascii="Times New Roman" w:hAnsi="Times New Roman" w:cs="Times New Roman"/>
          <w:color w:val="555555"/>
          <w:sz w:val="28"/>
          <w:szCs w:val="28"/>
          <w:lang w:val="uk-UA"/>
        </w:rPr>
        <w:lastRenderedPageBreak/>
        <w:br/>
      </w:r>
    </w:p>
    <w:p w:rsidR="00392635" w:rsidRDefault="00392635"/>
    <w:sectPr w:rsidR="00392635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41C"/>
    <w:multiLevelType w:val="hybridMultilevel"/>
    <w:tmpl w:val="05D878C0"/>
    <w:lvl w:ilvl="0" w:tplc="4DBA2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567077"/>
    <w:multiLevelType w:val="hybridMultilevel"/>
    <w:tmpl w:val="8474F68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B9"/>
    <w:rsid w:val="00392635"/>
    <w:rsid w:val="0045740B"/>
    <w:rsid w:val="00AD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B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5B9"/>
    <w:rPr>
      <w:rFonts w:ascii="Tahoma" w:hAnsi="Tahoma" w:cs="Tahoma"/>
      <w:sz w:val="16"/>
      <w:szCs w:val="16"/>
      <w:lang w:val="ru-RU"/>
    </w:rPr>
  </w:style>
  <w:style w:type="character" w:styleId="a6">
    <w:name w:val="Hyperlink"/>
    <w:uiPriority w:val="99"/>
    <w:rsid w:val="00AD4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B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5B9"/>
    <w:rPr>
      <w:rFonts w:ascii="Tahoma" w:hAnsi="Tahoma" w:cs="Tahoma"/>
      <w:sz w:val="16"/>
      <w:szCs w:val="16"/>
      <w:lang w:val="ru-RU"/>
    </w:rPr>
  </w:style>
  <w:style w:type="character" w:styleId="a6">
    <w:name w:val="Hyperlink"/>
    <w:uiPriority w:val="99"/>
    <w:rsid w:val="00AD4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3371</Words>
  <Characters>1922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2023-01-18T06:27:00Z</dcterms:created>
  <dcterms:modified xsi:type="dcterms:W3CDTF">2023-01-18T06:31:00Z</dcterms:modified>
</cp:coreProperties>
</file>